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pStyle w:val="2"/>
        <w:keepNext w:val="0"/>
        <w:keepLines w:val="0"/>
        <w:pageBreakBefore w:val="0"/>
        <w:widowControl/>
        <w:suppressLineNumbers w:val="0"/>
        <w:kinsoku/>
        <w:wordWrap/>
        <w:overflowPunct/>
        <w:topLinePunct w:val="0"/>
        <w:autoSpaceDE/>
        <w:autoSpaceDN/>
        <w:bidi w:val="0"/>
        <w:adjustRightInd/>
        <w:snapToGrid/>
        <w:ind w:right="0" w:rightChars="0"/>
        <w:jc w:val="left"/>
        <w:textAlignment w:val="auto"/>
        <w:rPr>
          <w:rFonts w:hint="eastAsia" w:ascii="仿宋_GB2312" w:hAnsi="仿宋_GB2312" w:eastAsia="仿宋_GB2312" w:cs="仿宋_GB2312"/>
          <w:b/>
          <w:bCs/>
          <w:i w:val="0"/>
          <w:caps w:val="0"/>
          <w:color w:val="000000"/>
          <w:spacing w:val="0"/>
          <w:sz w:val="32"/>
          <w:szCs w:val="32"/>
          <w:lang w:eastAsia="zh-CN"/>
        </w:rPr>
      </w:pPr>
      <w:r>
        <w:rPr>
          <w:rFonts w:hint="eastAsia" w:ascii="仿宋_GB2312" w:hAnsi="仿宋_GB2312" w:eastAsia="仿宋_GB2312" w:cs="仿宋_GB2312"/>
          <w:b/>
          <w:bCs/>
          <w:i w:val="0"/>
          <w:caps w:val="0"/>
          <w:color w:val="000000"/>
          <w:spacing w:val="0"/>
          <w:sz w:val="32"/>
          <w:szCs w:val="32"/>
          <w:lang w:eastAsia="zh-CN"/>
        </w:rPr>
        <w:t>附件：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 w:val="0"/>
        <w:spacing w:line="240" w:lineRule="atLeast"/>
        <w:jc w:val="center"/>
        <w:textAlignment w:val="auto"/>
        <w:rPr>
          <w:rFonts w:hint="eastAsia" w:ascii="黑体" w:eastAsia="黑体"/>
          <w:b/>
          <w:color w:val="000000"/>
          <w:sz w:val="44"/>
          <w:szCs w:val="44"/>
          <w:lang w:eastAsia="zh-CN"/>
        </w:rPr>
      </w:pPr>
      <w:bookmarkStart w:id="0" w:name="_GoBack"/>
      <w:r>
        <w:rPr>
          <w:rFonts w:hint="eastAsia" w:ascii="黑体" w:eastAsia="黑体"/>
          <w:b/>
          <w:color w:val="000000"/>
          <w:sz w:val="44"/>
          <w:szCs w:val="44"/>
          <w:lang w:val="en-US" w:eastAsia="zh-CN"/>
        </w:rPr>
        <w:t>2022年</w:t>
      </w:r>
      <w:r>
        <w:rPr>
          <w:rFonts w:hint="eastAsia" w:ascii="黑体" w:eastAsia="黑体"/>
          <w:b/>
          <w:color w:val="000000"/>
          <w:sz w:val="44"/>
          <w:szCs w:val="44"/>
        </w:rPr>
        <w:t>嘉兴市软科学研究</w:t>
      </w:r>
      <w:r>
        <w:rPr>
          <w:rFonts w:hint="eastAsia" w:ascii="黑体" w:eastAsia="黑体"/>
          <w:b/>
          <w:color w:val="000000"/>
          <w:sz w:val="44"/>
          <w:szCs w:val="44"/>
          <w:lang w:val="en-US" w:eastAsia="zh-CN"/>
        </w:rPr>
        <w:t>计划</w:t>
      </w:r>
      <w:r>
        <w:rPr>
          <w:rFonts w:hint="eastAsia" w:ascii="黑体" w:eastAsia="黑体"/>
          <w:b/>
          <w:color w:val="000000"/>
          <w:sz w:val="44"/>
          <w:szCs w:val="44"/>
        </w:rPr>
        <w:t>项目</w:t>
      </w:r>
      <w:r>
        <w:rPr>
          <w:rFonts w:hint="eastAsia" w:ascii="黑体" w:eastAsia="黑体"/>
          <w:b/>
          <w:color w:val="000000"/>
          <w:sz w:val="44"/>
          <w:szCs w:val="44"/>
          <w:lang w:eastAsia="zh-CN"/>
        </w:rPr>
        <w:t>拟研究内容</w:t>
      </w:r>
    </w:p>
    <w:bookmarkEnd w:id="0"/>
    <w:tbl>
      <w:tblPr>
        <w:tblStyle w:val="4"/>
        <w:tblW w:w="15340" w:type="dxa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410"/>
        <w:gridCol w:w="1083"/>
        <w:gridCol w:w="2518"/>
        <w:gridCol w:w="3352"/>
        <w:gridCol w:w="2478"/>
        <w:gridCol w:w="2583"/>
        <w:gridCol w:w="874"/>
        <w:gridCol w:w="2042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08" w:hRule="atLeast"/>
          <w:jc w:val="center"/>
        </w:trPr>
        <w:tc>
          <w:tcPr>
            <w:tcW w:w="410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tLeast"/>
              <w:jc w:val="center"/>
              <w:textAlignment w:val="auto"/>
              <w:rPr>
                <w:rFonts w:hint="eastAsia" w:ascii="CESI黑体-GB13000" w:hAnsi="CESI黑体-GB13000" w:eastAsia="CESI黑体-GB13000" w:cs="CESI黑体-GB13000"/>
                <w:color w:val="auto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="CESI黑体-GB13000" w:hAnsi="CESI黑体-GB13000" w:eastAsia="CESI黑体-GB13000" w:cs="CESI黑体-GB13000"/>
                <w:color w:val="auto"/>
                <w:sz w:val="21"/>
                <w:szCs w:val="21"/>
                <w:vertAlign w:val="baseline"/>
                <w:lang w:val="en-US" w:eastAsia="zh-CN"/>
              </w:rPr>
              <w:t>序号</w:t>
            </w:r>
          </w:p>
        </w:tc>
        <w:tc>
          <w:tcPr>
            <w:tcW w:w="1083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tLeast"/>
              <w:jc w:val="center"/>
              <w:textAlignment w:val="auto"/>
              <w:rPr>
                <w:rFonts w:hint="eastAsia" w:ascii="CESI黑体-GB13000" w:hAnsi="CESI黑体-GB13000" w:eastAsia="CESI黑体-GB13000" w:cs="CESI黑体-GB13000"/>
                <w:color w:val="auto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="CESI黑体-GB13000" w:hAnsi="CESI黑体-GB13000" w:eastAsia="CESI黑体-GB13000" w:cs="CESI黑体-GB13000"/>
                <w:color w:val="auto"/>
                <w:sz w:val="21"/>
                <w:szCs w:val="21"/>
                <w:vertAlign w:val="baseline"/>
                <w:lang w:val="en-US" w:eastAsia="zh-CN"/>
              </w:rPr>
              <w:t>项目名称</w:t>
            </w:r>
          </w:p>
        </w:tc>
        <w:tc>
          <w:tcPr>
            <w:tcW w:w="2518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tLeast"/>
              <w:jc w:val="center"/>
              <w:textAlignment w:val="auto"/>
              <w:rPr>
                <w:rFonts w:hint="eastAsia" w:ascii="CESI黑体-GB13000" w:hAnsi="CESI黑体-GB13000" w:eastAsia="CESI黑体-GB13000" w:cs="CESI黑体-GB13000"/>
                <w:color w:val="auto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="CESI黑体-GB13000" w:hAnsi="CESI黑体-GB13000" w:eastAsia="CESI黑体-GB13000" w:cs="CESI黑体-GB13000"/>
                <w:color w:val="auto"/>
                <w:sz w:val="21"/>
                <w:szCs w:val="21"/>
                <w:vertAlign w:val="baseline"/>
                <w:lang w:val="en-US" w:eastAsia="zh-CN"/>
              </w:rPr>
              <w:t>选题背景与意义</w:t>
            </w:r>
          </w:p>
        </w:tc>
        <w:tc>
          <w:tcPr>
            <w:tcW w:w="3352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tLeast"/>
              <w:jc w:val="center"/>
              <w:textAlignment w:val="auto"/>
              <w:rPr>
                <w:rFonts w:hint="eastAsia" w:ascii="CESI黑体-GB13000" w:hAnsi="CESI黑体-GB13000" w:eastAsia="CESI黑体-GB13000" w:cs="CESI黑体-GB13000"/>
                <w:color w:val="auto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="CESI黑体-GB13000" w:hAnsi="CESI黑体-GB13000" w:eastAsia="CESI黑体-GB13000" w:cs="CESI黑体-GB13000"/>
                <w:color w:val="auto"/>
                <w:sz w:val="21"/>
                <w:szCs w:val="21"/>
                <w:vertAlign w:val="baseline"/>
                <w:lang w:val="en-US" w:eastAsia="zh-CN"/>
              </w:rPr>
              <w:t>主要研究内容</w:t>
            </w:r>
          </w:p>
        </w:tc>
        <w:tc>
          <w:tcPr>
            <w:tcW w:w="2478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tLeast"/>
              <w:jc w:val="center"/>
              <w:textAlignment w:val="auto"/>
              <w:rPr>
                <w:rFonts w:hint="eastAsia" w:ascii="CESI黑体-GB13000" w:hAnsi="CESI黑体-GB13000" w:eastAsia="CESI黑体-GB13000" w:cs="CESI黑体-GB13000"/>
                <w:color w:val="auto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="CESI黑体-GB13000" w:hAnsi="CESI黑体-GB13000" w:eastAsia="CESI黑体-GB13000" w:cs="CESI黑体-GB13000"/>
                <w:color w:val="auto"/>
                <w:sz w:val="21"/>
                <w:szCs w:val="21"/>
                <w:vertAlign w:val="baseline"/>
                <w:lang w:val="en-US" w:eastAsia="zh-CN"/>
              </w:rPr>
              <w:t>主要难点</w:t>
            </w:r>
          </w:p>
        </w:tc>
        <w:tc>
          <w:tcPr>
            <w:tcW w:w="2583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tLeast"/>
              <w:jc w:val="center"/>
              <w:textAlignment w:val="auto"/>
              <w:rPr>
                <w:rFonts w:hint="eastAsia" w:ascii="CESI黑体-GB13000" w:hAnsi="CESI黑体-GB13000" w:eastAsia="CESI黑体-GB13000" w:cs="CESI黑体-GB13000"/>
                <w:color w:val="auto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="CESI黑体-GB13000" w:hAnsi="CESI黑体-GB13000" w:eastAsia="CESI黑体-GB13000" w:cs="CESI黑体-GB13000"/>
                <w:color w:val="auto"/>
                <w:sz w:val="21"/>
                <w:szCs w:val="21"/>
                <w:vertAlign w:val="baseline"/>
                <w:lang w:val="en-US" w:eastAsia="zh-CN"/>
              </w:rPr>
              <w:t>研究方法和解决主要问题的思路与建议</w:t>
            </w:r>
          </w:p>
        </w:tc>
        <w:tc>
          <w:tcPr>
            <w:tcW w:w="874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tLeast"/>
              <w:jc w:val="center"/>
              <w:textAlignment w:val="auto"/>
              <w:rPr>
                <w:rFonts w:hint="default" w:ascii="CESI黑体-GB13000" w:hAnsi="CESI黑体-GB13000" w:eastAsia="CESI黑体-GB13000" w:cs="CESI黑体-GB13000"/>
                <w:color w:val="auto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="CESI黑体-GB13000" w:hAnsi="CESI黑体-GB13000" w:eastAsia="CESI黑体-GB13000" w:cs="CESI黑体-GB13000"/>
                <w:color w:val="auto"/>
                <w:sz w:val="21"/>
                <w:szCs w:val="21"/>
                <w:vertAlign w:val="baseline"/>
                <w:lang w:val="en-US" w:eastAsia="zh-CN"/>
              </w:rPr>
              <w:t>项目分类</w:t>
            </w:r>
          </w:p>
        </w:tc>
        <w:tc>
          <w:tcPr>
            <w:tcW w:w="2042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tLeast"/>
              <w:jc w:val="center"/>
              <w:textAlignment w:val="auto"/>
              <w:rPr>
                <w:rFonts w:hint="eastAsia" w:ascii="CESI黑体-GB13000" w:hAnsi="CESI黑体-GB13000" w:eastAsia="CESI黑体-GB13000" w:cs="CESI黑体-GB13000"/>
                <w:color w:val="auto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="CESI黑体-GB13000" w:hAnsi="CESI黑体-GB13000" w:eastAsia="CESI黑体-GB13000" w:cs="CESI黑体-GB13000"/>
                <w:color w:val="auto"/>
                <w:sz w:val="21"/>
                <w:szCs w:val="21"/>
                <w:vertAlign w:val="baseline"/>
                <w:lang w:val="en-US" w:eastAsia="zh-CN"/>
              </w:rPr>
              <w:t>研究内容咨询电话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49" w:hRule="atLeast"/>
          <w:jc w:val="center"/>
        </w:trPr>
        <w:tc>
          <w:tcPr>
            <w:tcW w:w="410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tLeast"/>
              <w:jc w:val="center"/>
              <w:textAlignment w:val="auto"/>
              <w:rPr>
                <w:rFonts w:hint="default" w:ascii="仿宋_GB2312" w:hAnsi="仿宋_GB2312" w:eastAsia="仿宋_GB2312" w:cs="仿宋_GB2312"/>
                <w:color w:val="auto"/>
                <w:sz w:val="21"/>
                <w:szCs w:val="21"/>
                <w:vertAlign w:val="baseline"/>
                <w:lang w:val="en" w:eastAsia="zh-CN"/>
              </w:rPr>
            </w:pPr>
            <w:r>
              <w:rPr>
                <w:rFonts w:hint="default" w:ascii="仿宋_GB2312" w:hAnsi="仿宋_GB2312" w:eastAsia="仿宋_GB2312" w:cs="仿宋_GB2312"/>
                <w:color w:val="auto"/>
                <w:sz w:val="21"/>
                <w:szCs w:val="21"/>
                <w:vertAlign w:val="baseline"/>
                <w:lang w:val="en" w:eastAsia="zh-CN"/>
              </w:rPr>
              <w:t>1</w:t>
            </w:r>
          </w:p>
        </w:tc>
        <w:tc>
          <w:tcPr>
            <w:tcW w:w="1083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tLeast"/>
              <w:jc w:val="center"/>
              <w:textAlignment w:val="auto"/>
              <w:rPr>
                <w:rFonts w:hint="eastAsia" w:ascii="仿宋_GB2312" w:hAnsi="仿宋_GB2312" w:eastAsia="仿宋_GB2312" w:cs="仿宋_GB2312"/>
                <w:color w:val="auto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sz w:val="21"/>
                <w:szCs w:val="21"/>
                <w:vertAlign w:val="baseline"/>
                <w:lang w:val="en-US" w:eastAsia="zh-CN"/>
              </w:rPr>
              <w:t>跨区域一站式路演共享平台研究</w:t>
            </w:r>
          </w:p>
        </w:tc>
        <w:tc>
          <w:tcPr>
            <w:tcW w:w="2518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tLeast"/>
              <w:jc w:val="left"/>
              <w:textAlignment w:val="auto"/>
              <w:rPr>
                <w:rFonts w:hint="eastAsia" w:ascii="仿宋_GB2312" w:hAnsi="仿宋_GB2312" w:eastAsia="仿宋_GB2312" w:cs="仿宋_GB2312"/>
                <w:color w:val="auto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sz w:val="21"/>
                <w:szCs w:val="21"/>
                <w:vertAlign w:val="baseline"/>
                <w:lang w:val="en-US" w:eastAsia="zh-CN"/>
              </w:rPr>
              <w:t>G60科创走廊是“一带一路”、长江经济带、长三角一体化三大国家战略的重要交汇地带，也是中国科创最具引力、经济最具活力的区域之一，构建跨区域一站式路演平台对促进G60走廊科创要素流动，构建长三角创新共同体具有重要意义。</w:t>
            </w:r>
          </w:p>
        </w:tc>
        <w:tc>
          <w:tcPr>
            <w:tcW w:w="3352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tLeast"/>
              <w:jc w:val="left"/>
              <w:textAlignment w:val="auto"/>
              <w:rPr>
                <w:rFonts w:hint="eastAsia" w:ascii="仿宋_GB2312" w:hAnsi="仿宋_GB2312" w:eastAsia="仿宋_GB2312" w:cs="仿宋_GB2312"/>
                <w:color w:val="auto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sz w:val="21"/>
                <w:szCs w:val="21"/>
                <w:vertAlign w:val="baseline"/>
                <w:lang w:val="en-US" w:eastAsia="zh-CN"/>
              </w:rPr>
              <w:t>1.研究跨区域协同合作模式。探索走廊沿线城市通过路演共享平台实现科创要素的流动，推动路演联合体壮大发展。</w:t>
            </w:r>
          </w:p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tLeast"/>
              <w:jc w:val="left"/>
              <w:textAlignment w:val="auto"/>
              <w:rPr>
                <w:rFonts w:hint="eastAsia" w:ascii="仿宋_GB2312" w:hAnsi="仿宋_GB2312" w:eastAsia="仿宋_GB2312" w:cs="仿宋_GB2312"/>
                <w:color w:val="auto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sz w:val="21"/>
                <w:szCs w:val="21"/>
                <w:vertAlign w:val="baseline"/>
                <w:lang w:val="en-US" w:eastAsia="zh-CN"/>
              </w:rPr>
              <w:t>2.研究一站式路演服务模式。依托路演平台贯通项目“征—评—演—落”的完整流程，对各环节逐步优化。</w:t>
            </w:r>
          </w:p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tLeast"/>
              <w:jc w:val="left"/>
              <w:textAlignment w:val="auto"/>
              <w:rPr>
                <w:rFonts w:hint="eastAsia" w:ascii="仿宋_GB2312" w:hAnsi="仿宋_GB2312" w:eastAsia="仿宋_GB2312" w:cs="仿宋_GB2312"/>
                <w:color w:val="auto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sz w:val="21"/>
                <w:szCs w:val="21"/>
                <w:vertAlign w:val="baseline"/>
                <w:lang w:val="en-US" w:eastAsia="zh-CN"/>
              </w:rPr>
              <w:t>3.研究跨部门政策协同。根据各地区提供的人才、产业政策，形成长三角（G60）区域政策体系，打造检索便利、匹配精准的“科创地图”。</w:t>
            </w:r>
          </w:p>
        </w:tc>
        <w:tc>
          <w:tcPr>
            <w:tcW w:w="2478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tLeast"/>
              <w:jc w:val="left"/>
              <w:textAlignment w:val="auto"/>
              <w:rPr>
                <w:rFonts w:hint="eastAsia" w:ascii="仿宋_GB2312" w:hAnsi="仿宋_GB2312" w:eastAsia="仿宋_GB2312" w:cs="仿宋_GB2312"/>
                <w:color w:val="auto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sz w:val="21"/>
                <w:szCs w:val="21"/>
                <w:vertAlign w:val="baseline"/>
                <w:lang w:val="en-US" w:eastAsia="zh-CN"/>
              </w:rPr>
              <w:t>1. 考虑如何以路演为切口，突破区域限制，真正实现创新要素流通。2.研制评价模型，规范项目标准。设计、优化路演项目评价模型，重点开发面向不同部门重点工作的专项路演评价模型，以及评价指标与分数转换模型。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tLeast"/>
              <w:jc w:val="left"/>
              <w:textAlignment w:val="auto"/>
              <w:rPr>
                <w:rFonts w:hint="eastAsia" w:ascii="仿宋_GB2312" w:hAnsi="仿宋_GB2312" w:eastAsia="仿宋_GB2312" w:cs="仿宋_GB2312"/>
                <w:color w:val="auto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sz w:val="21"/>
                <w:szCs w:val="21"/>
                <w:vertAlign w:val="baseline"/>
                <w:lang w:val="en-US" w:eastAsia="zh-CN"/>
              </w:rPr>
              <w:t>3.如何运用好路演共享平台，承接更优质的项目，服务好科创项目，使其落地。</w:t>
            </w:r>
          </w:p>
        </w:tc>
        <w:tc>
          <w:tcPr>
            <w:tcW w:w="2583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tLeast"/>
              <w:jc w:val="left"/>
              <w:textAlignment w:val="auto"/>
              <w:rPr>
                <w:rFonts w:hint="eastAsia" w:ascii="仿宋_GB2312" w:hAnsi="仿宋_GB2312" w:eastAsia="仿宋_GB2312" w:cs="仿宋_GB2312"/>
                <w:color w:val="auto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sz w:val="21"/>
                <w:szCs w:val="21"/>
                <w:vertAlign w:val="baseline"/>
                <w:lang w:val="en-US" w:eastAsia="zh-CN"/>
              </w:rPr>
              <w:t>1.调研走访长三角G60科创走廊路演中心联合体成员单位，排摸各路演中心的运营现状和点；2.面向科创项目方，进行访谈或问卷调查，了解科创项目当事人的述求，征询对平台建设的意见，形成报告；3.梳理走廊九城市项目落地相关政策，探讨跨区域政策协同的方案和实施步骤；</w:t>
            </w:r>
          </w:p>
        </w:tc>
        <w:tc>
          <w:tcPr>
            <w:tcW w:w="874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tLeast"/>
              <w:jc w:val="center"/>
              <w:textAlignment w:val="auto"/>
              <w:rPr>
                <w:rFonts w:hint="default" w:ascii="仿宋_GB2312" w:hAnsi="仿宋_GB2312" w:eastAsia="仿宋_GB2312" w:cs="仿宋_GB2312"/>
                <w:b/>
                <w:bCs/>
                <w:color w:val="auto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sz w:val="21"/>
                <w:szCs w:val="21"/>
                <w:vertAlign w:val="baseline"/>
                <w:lang w:val="en-US" w:eastAsia="zh-CN"/>
              </w:rPr>
              <w:t>重点</w:t>
            </w:r>
          </w:p>
        </w:tc>
        <w:tc>
          <w:tcPr>
            <w:tcW w:w="2042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tLeast"/>
              <w:jc w:val="center"/>
              <w:textAlignment w:val="auto"/>
              <w:rPr>
                <w:rFonts w:hint="default" w:ascii="仿宋_GB2312" w:hAnsi="仿宋_GB2312" w:eastAsia="仿宋_GB2312" w:cs="仿宋_GB2312"/>
                <w:color w:val="auto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sz w:val="21"/>
                <w:szCs w:val="21"/>
                <w:vertAlign w:val="baseline"/>
                <w:lang w:val="en-US" w:eastAsia="zh-CN"/>
              </w:rPr>
              <w:t>科技合作与成果转化处  0573-82159820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529" w:hRule="atLeast"/>
          <w:jc w:val="center"/>
        </w:trPr>
        <w:tc>
          <w:tcPr>
            <w:tcW w:w="410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tLeast"/>
              <w:jc w:val="center"/>
              <w:textAlignment w:val="auto"/>
              <w:rPr>
                <w:rFonts w:hint="default" w:ascii="仿宋_GB2312" w:hAnsi="仿宋_GB2312" w:eastAsia="仿宋_GB2312" w:cs="仿宋_GB2312"/>
                <w:sz w:val="21"/>
                <w:szCs w:val="21"/>
                <w:vertAlign w:val="baseline"/>
                <w:lang w:val="en" w:eastAsia="zh-CN"/>
              </w:rPr>
            </w:pPr>
            <w:r>
              <w:rPr>
                <w:rFonts w:hint="default" w:ascii="仿宋_GB2312" w:hAnsi="仿宋_GB2312" w:eastAsia="仿宋_GB2312" w:cs="仿宋_GB2312"/>
                <w:sz w:val="21"/>
                <w:szCs w:val="21"/>
                <w:vertAlign w:val="baseline"/>
                <w:lang w:val="en" w:eastAsia="zh-CN"/>
              </w:rPr>
              <w:t>2</w:t>
            </w:r>
          </w:p>
        </w:tc>
        <w:tc>
          <w:tcPr>
            <w:tcW w:w="1083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tLeast"/>
              <w:jc w:val="center"/>
              <w:textAlignment w:val="auto"/>
              <w:rPr>
                <w:rFonts w:hint="eastAsia" w:ascii="仿宋_GB2312" w:hAnsi="仿宋_GB2312" w:eastAsia="仿宋_GB2312" w:cs="仿宋_GB2312"/>
                <w:sz w:val="21"/>
                <w:szCs w:val="21"/>
                <w:vertAlign w:val="baseline"/>
                <w:lang w:eastAsia="zh-CN"/>
              </w:rPr>
            </w:pPr>
            <w:r>
              <w:rPr>
                <w:rFonts w:hint="eastAsia" w:ascii="仿宋_GB2312" w:hAnsi="仿宋_GB2312" w:eastAsia="仿宋_GB2312" w:cs="仿宋_GB2312"/>
                <w:sz w:val="21"/>
                <w:szCs w:val="21"/>
                <w:vertAlign w:val="baseline"/>
                <w:lang w:eastAsia="zh-CN"/>
              </w:rPr>
              <w:t>基于省级科技园区建设工作落实科技强农、打造农业科创高地的策略研究</w:t>
            </w:r>
          </w:p>
        </w:tc>
        <w:tc>
          <w:tcPr>
            <w:tcW w:w="2518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tLeast"/>
              <w:jc w:val="left"/>
              <w:textAlignment w:val="auto"/>
              <w:rPr>
                <w:rFonts w:hint="eastAsia" w:ascii="仿宋_GB2312" w:hAnsi="仿宋_GB2312" w:eastAsia="仿宋_GB2312" w:cs="仿宋_GB2312"/>
                <w:sz w:val="21"/>
                <w:szCs w:val="21"/>
                <w:vertAlign w:val="baseline"/>
                <w:lang w:eastAsia="zh-CN"/>
              </w:rPr>
            </w:pPr>
            <w:r>
              <w:rPr>
                <w:rFonts w:hint="eastAsia" w:ascii="仿宋_GB2312" w:hAnsi="仿宋_GB2312" w:eastAsia="仿宋_GB2312" w:cs="仿宋_GB2312"/>
                <w:sz w:val="21"/>
                <w:szCs w:val="21"/>
                <w:vertAlign w:val="baseline"/>
                <w:lang w:eastAsia="zh-CN"/>
              </w:rPr>
              <w:t>围绕全力打造农业高质量发展先行区，全面贯彻落实农业“双强”行动是2021-2025年浙江省的重要规划部署。如何在立足嘉兴农业科技实际，聚焦高标准、竞争力、现代化，突出农业生产效率和效益导向，深入实施科技强农行动，以引导农业科技园区建设发挥为重要抓手打造农业科创高地，为高质量发展建设共同富裕示范区典范城市的提供有力科技支撑。</w:t>
            </w:r>
          </w:p>
        </w:tc>
        <w:tc>
          <w:tcPr>
            <w:tcW w:w="3352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tLeast"/>
              <w:jc w:val="left"/>
              <w:textAlignment w:val="auto"/>
              <w:rPr>
                <w:rFonts w:hint="eastAsia" w:ascii="仿宋_GB2312" w:hAnsi="仿宋_GB2312" w:eastAsia="仿宋_GB2312" w:cs="仿宋_GB2312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21"/>
                <w:szCs w:val="21"/>
                <w:vertAlign w:val="baseline"/>
                <w:lang w:val="en-US" w:eastAsia="zh-CN"/>
              </w:rPr>
              <w:t xml:space="preserve">1.对全市省级科技园区建设的整体现状进行调研，包括培育阶段科技园区运营及转产情况等，分析难点和问题；2.依托省级科技园区建设工作，对园区的人才集聚、科技成果转化、创新主体培育等发展现状进行梳理和分析；3.对先进地区的典型案例进行研究，借鉴成功经验，结合嘉兴实际提出嘉兴建设高水平农业科技园区、打造农业科创高地可供参考的建设性意见。                                                 </w:t>
            </w:r>
          </w:p>
        </w:tc>
        <w:tc>
          <w:tcPr>
            <w:tcW w:w="2478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tLeast"/>
              <w:jc w:val="left"/>
              <w:textAlignment w:val="auto"/>
              <w:rPr>
                <w:rFonts w:hint="eastAsia" w:ascii="仿宋_GB2312" w:hAnsi="仿宋_GB2312" w:eastAsia="仿宋_GB2312" w:cs="仿宋_GB2312"/>
                <w:sz w:val="21"/>
                <w:szCs w:val="21"/>
                <w:vertAlign w:val="baseline"/>
                <w:lang w:eastAsia="zh-CN"/>
              </w:rPr>
            </w:pPr>
            <w:r>
              <w:rPr>
                <w:rFonts w:hint="eastAsia" w:ascii="仿宋_GB2312" w:hAnsi="仿宋_GB2312" w:eastAsia="仿宋_GB2312" w:cs="仿宋_GB2312"/>
                <w:sz w:val="21"/>
                <w:szCs w:val="21"/>
                <w:vertAlign w:val="baseline"/>
                <w:lang w:eastAsia="zh-CN"/>
              </w:rPr>
              <w:t>园区建设数字来源的真实性、准确性；以及先进地区的典型案例选取的代表性、全面性</w:t>
            </w:r>
          </w:p>
        </w:tc>
        <w:tc>
          <w:tcPr>
            <w:tcW w:w="2583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tLeast"/>
              <w:jc w:val="left"/>
              <w:textAlignment w:val="auto"/>
              <w:rPr>
                <w:rFonts w:hint="eastAsia" w:ascii="仿宋_GB2312" w:hAnsi="仿宋_GB2312" w:eastAsia="仿宋_GB2312" w:cs="仿宋_GB2312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21"/>
                <w:szCs w:val="21"/>
                <w:vertAlign w:val="baseline"/>
                <w:lang w:val="en-US" w:eastAsia="zh-CN"/>
              </w:rPr>
              <w:t>研究方法主要有走访调研、文献查阅、案例分析等。针对主要难点，主要从以下两方面入手：一是数据挖掘。通过最新文献查阅及全方位实地调研获得园区建设第一手数据，挖掘、分析嘉兴市科技园区建设真实情况；二是案例对比分析。选择浙江省嘉兴市相近的城市及周边省市先进典型，与我市园区建设进行对比研究，全面比较优势弱点，并根据优势不足对园区建设方案进行优化完善，进一步提出打造农业科创高地的建设性意见。</w:t>
            </w:r>
          </w:p>
        </w:tc>
        <w:tc>
          <w:tcPr>
            <w:tcW w:w="874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tLeast"/>
              <w:jc w:val="center"/>
              <w:textAlignment w:val="auto"/>
              <w:rPr>
                <w:rFonts w:hint="default" w:ascii="仿宋_GB2312" w:hAnsi="仿宋_GB2312" w:eastAsia="仿宋_GB2312" w:cs="仿宋_GB2312"/>
                <w:color w:val="auto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sz w:val="21"/>
                <w:szCs w:val="21"/>
                <w:vertAlign w:val="baseline"/>
                <w:lang w:val="en-US" w:eastAsia="zh-CN"/>
              </w:rPr>
              <w:t>重点</w:t>
            </w:r>
          </w:p>
        </w:tc>
        <w:tc>
          <w:tcPr>
            <w:tcW w:w="2042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tLeast"/>
              <w:jc w:val="center"/>
              <w:textAlignment w:val="auto"/>
              <w:rPr>
                <w:rFonts w:hint="default" w:ascii="仿宋_GB2312" w:hAnsi="仿宋_GB2312" w:eastAsia="仿宋_GB2312" w:cs="仿宋_GB2312"/>
                <w:color w:val="auto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sz w:val="21"/>
                <w:szCs w:val="21"/>
                <w:vertAlign w:val="baseline"/>
                <w:lang w:val="en-US" w:eastAsia="zh-CN"/>
              </w:rPr>
              <w:t xml:space="preserve">农村与社会发展处 0573-82153382 </w:t>
            </w:r>
          </w:p>
        </w:tc>
      </w:tr>
    </w:tbl>
    <w:p/>
    <w:sectPr>
      <w:pgSz w:w="16838" w:h="11906" w:orient="landscape"/>
      <w:pgMar w:top="1800" w:right="1440" w:bottom="1800" w:left="144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仿宋_GB2312">
    <w:panose1 w:val="02010609030101010101"/>
    <w:charset w:val="86"/>
    <w:family w:val="auto"/>
    <w:pitch w:val="default"/>
    <w:sig w:usb0="00000001" w:usb1="080E0000" w:usb2="00000000" w:usb3="00000000" w:csb0="00040000" w:csb1="00000000"/>
  </w:font>
  <w:font w:name="CESI黑体-GB13000">
    <w:altName w:val="黑体"/>
    <w:panose1 w:val="02000500000000000000"/>
    <w:charset w:val="86"/>
    <w:family w:val="auto"/>
    <w:pitch w:val="default"/>
    <w:sig w:usb0="00000000" w:usb1="00000000" w:usb2="00000016" w:usb3="00000000" w:csb0="0004000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9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1F1D3855"/>
    <w:rsid w:val="1F1D385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qFormat="1"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qFormat="1"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Calibri" w:hAnsi="Calibri" w:eastAsia="宋体" w:cs="Times New Roman"/>
      <w:kern w:val="2"/>
      <w:sz w:val="21"/>
      <w:szCs w:val="24"/>
      <w:lang w:val="en-US" w:eastAsia="zh-CN" w:bidi="ar-SA"/>
    </w:rPr>
  </w:style>
  <w:style w:type="character" w:default="1" w:styleId="5">
    <w:name w:val="Default Paragraph Font"/>
    <w:semiHidden/>
    <w:uiPriority w:val="0"/>
  </w:style>
  <w:style w:type="table" w:default="1" w:styleId="3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Normal (Web)"/>
    <w:basedOn w:val="1"/>
    <w:qFormat/>
    <w:uiPriority w:val="0"/>
    <w:pPr>
      <w:spacing w:before="100" w:beforeAutospacing="1" w:after="100" w:afterAutospacing="1"/>
      <w:ind w:left="0" w:right="0"/>
      <w:jc w:val="left"/>
    </w:pPr>
    <w:rPr>
      <w:kern w:val="0"/>
      <w:sz w:val="24"/>
      <w:lang w:val="en-US" w:eastAsia="zh-CN" w:bidi="ar"/>
    </w:rPr>
  </w:style>
  <w:style w:type="table" w:styleId="4">
    <w:name w:val="Table Grid"/>
    <w:basedOn w:val="3"/>
    <w:qFormat/>
    <w:uiPriority w:val="0"/>
    <w:pPr>
      <w:widowControl w:val="0"/>
      <w:jc w:val="both"/>
    </w:p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</w:tbl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Office_11.1.0.11636_F1E327BC-269C-435d-A152-05C5408002CA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2022-04-22T09:02:00Z</dcterms:created>
  <dc:creator>teny</dc:creator>
  <cp:lastModifiedBy>teny</cp:lastModifiedBy>
  <dcterms:modified xsi:type="dcterms:W3CDTF">2022-04-22T09:02:49Z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2052-11.1.0.11636</vt:lpwstr>
  </property>
  <property fmtid="{D5CDD505-2E9C-101B-9397-08002B2CF9AE}" pid="3" name="ICV">
    <vt:lpwstr>7859491DCE834CE990EDBA373D27253D</vt:lpwstr>
  </property>
</Properties>
</file>